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12041</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Toulouse, France, August 21 – August 25,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9.4.4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Discussion on SAN RF requirements for the Extended L-band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2"/>
        </w:numPr>
        <w:rPr>
          <w:iCs/>
          <w:sz w:val="21"/>
          <w:szCs w:val="21"/>
        </w:rPr>
      </w:pPr>
      <w:r>
        <w:rPr>
          <w:sz w:val="21"/>
          <w:szCs w:val="21"/>
        </w:rPr>
        <w:t xml:space="preserve">Specify a new E-UTRA NTN FDD band, with initial scope for Region 1, with UE transmitting at 1668 – 1675 MHz and SAN transmitting at </w:t>
      </w:r>
      <w:r>
        <w:rPr>
          <w:iCs/>
          <w:sz w:val="21"/>
          <w:szCs w:val="21"/>
        </w:rPr>
        <w:t>1518 – 1525 MHz</w:t>
      </w:r>
    </w:p>
    <w:p>
      <w:pPr>
        <w:pStyle w:val="50"/>
        <w:numPr>
          <w:ilvl w:val="1"/>
          <w:numId w:val="2"/>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2"/>
        </w:numPr>
        <w:rPr>
          <w:iCs/>
          <w:sz w:val="21"/>
          <w:szCs w:val="21"/>
        </w:rPr>
      </w:pPr>
      <w:r>
        <w:rPr>
          <w:sz w:val="21"/>
          <w:szCs w:val="21"/>
        </w:rPr>
        <w:t>Support UE Categories NB1, NB2, M1;</w:t>
      </w:r>
    </w:p>
    <w:p>
      <w:pPr>
        <w:pStyle w:val="50"/>
        <w:numPr>
          <w:ilvl w:val="0"/>
          <w:numId w:val="2"/>
        </w:numPr>
        <w:rPr>
          <w:iCs/>
          <w:sz w:val="21"/>
          <w:szCs w:val="21"/>
        </w:rPr>
      </w:pPr>
      <w:r>
        <w:rPr>
          <w:sz w:val="21"/>
          <w:szCs w:val="21"/>
        </w:rPr>
        <w:t xml:space="preserve">Support UE Power class 3 (+23dBm) and Power Class 5 (+20dBm); </w:t>
      </w:r>
    </w:p>
    <w:p>
      <w:pPr>
        <w:pStyle w:val="50"/>
        <w:numPr>
          <w:ilvl w:val="0"/>
          <w:numId w:val="2"/>
        </w:numPr>
        <w:rPr>
          <w:iCs/>
          <w:sz w:val="21"/>
          <w:szCs w:val="21"/>
        </w:rPr>
      </w:pPr>
      <w:r>
        <w:rPr>
          <w:sz w:val="21"/>
          <w:szCs w:val="21"/>
        </w:rPr>
        <w:t>Introduce the corresponding SAN and UE RF core requirements;</w:t>
      </w:r>
    </w:p>
    <w:p>
      <w:pPr>
        <w:pStyle w:val="50"/>
        <w:numPr>
          <w:ilvl w:val="0"/>
          <w:numId w:val="2"/>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SAN</w:t>
      </w:r>
      <w:r>
        <w:rPr>
          <w:rFonts w:hint="eastAsia"/>
          <w:lang w:val="en-US"/>
        </w:rPr>
        <w:t xml:space="preserve"> RF requirements</w:t>
      </w:r>
      <w:r>
        <w:rPr>
          <w:rFonts w:hint="eastAsia"/>
          <w:lang w:val="en-US" w:eastAsia="zh-CN"/>
        </w:rPr>
        <w:t xml:space="preserve">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4"/>
      <w:bookmarkStart w:id="3" w:name="OLE_LINK13"/>
      <w:bookmarkStart w:id="4" w:name="OLE_LINK20"/>
      <w:bookmarkStart w:id="5"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Based on the following agreement approved last meeting, the band number of extended L-band has been numbered as [253].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Theme="minorEastAsia"/>
                <w:b/>
                <w:bCs/>
                <w:i/>
                <w:color w:val="auto"/>
                <w:highlight w:val="green"/>
                <w:lang w:val="en-US" w:eastAsia="zh-CN"/>
              </w:rPr>
            </w:pPr>
            <w:r>
              <w:rPr>
                <w:rFonts w:hint="eastAsia" w:eastAsiaTheme="minorEastAsia"/>
                <w:b/>
                <w:bCs/>
                <w:i/>
                <w:color w:val="auto"/>
                <w:highlight w:val="green"/>
                <w:lang w:val="en-US" w:eastAsia="zh-CN"/>
              </w:rPr>
              <w:t>Agreements:</w:t>
            </w:r>
          </w:p>
          <w:p>
            <w:pPr>
              <w:pStyle w:val="34"/>
              <w:numPr>
                <w:ilvl w:val="0"/>
                <w:numId w:val="3"/>
              </w:numPr>
              <w:spacing w:after="180"/>
              <w:rPr>
                <w:rFonts w:hint="eastAsia"/>
                <w:b w:val="0"/>
                <w:bCs w:val="0"/>
                <w:i w:val="0"/>
                <w:iCs w:val="0"/>
                <w:vertAlign w:val="baseline"/>
                <w:lang w:val="en-US" w:eastAsia="zh-CN"/>
              </w:rPr>
            </w:pPr>
            <w:r>
              <w:rPr>
                <w:rFonts w:eastAsiaTheme="minorEastAsia"/>
                <w:iCs/>
                <w:highlight w:val="none"/>
                <w:lang w:val="en-US" w:eastAsia="zh-CN"/>
              </w:rPr>
              <w:t>Agree on Band [253] as the band numbering.</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 frequency range of extended L-band needs to be further discussed after further checking of the ECC report 263 [2].</w:t>
      </w:r>
      <w:r>
        <w:rPr>
          <w:rFonts w:hint="eastAsia"/>
          <w:b w:val="0"/>
          <w:bCs w:val="0"/>
          <w:i w:val="0"/>
          <w:iCs w:val="0"/>
          <w:highlight w:val="none"/>
          <w:lang w:val="en-US" w:eastAsia="zh-CN"/>
        </w:rPr>
        <w:t xml:space="preserve"> According to the analysis of our contribution [3]</w:t>
      </w:r>
      <w:r>
        <w:rPr>
          <w:rFonts w:hint="eastAsia"/>
          <w:b w:val="0"/>
          <w:bCs w:val="0"/>
          <w:i w:val="0"/>
          <w:iCs w:val="0"/>
          <w:lang w:val="en-US" w:eastAsia="zh-CN"/>
        </w:rPr>
        <w:t>, the extended L-band can be specified as shown in Table 2.1-1.</w:t>
      </w:r>
    </w:p>
    <w:p>
      <w:pPr>
        <w:pStyle w:val="45"/>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1518</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Extended L-band. Therefore, the channel raster, carrier frequency and EARFCN can be defined as Table 2.2-1.</w:t>
      </w:r>
    </w:p>
    <w:p>
      <w:pPr>
        <w:pStyle w:val="45"/>
      </w:pPr>
      <w:r>
        <w:rPr>
          <w:rFonts w:hint="eastAsia"/>
          <w:lang w:val="en-US" w:eastAsia="zh-CN"/>
        </w:rPr>
        <w:t>Table 2.2</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9"/>
        <w:gridCol w:w="1008"/>
        <w:gridCol w:w="1033"/>
        <w:gridCol w:w="1848"/>
        <w:gridCol w:w="1008"/>
        <w:gridCol w:w="839"/>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979" w:type="dxa"/>
            <w:vMerge w:val="restart"/>
            <w:vAlign w:val="center"/>
          </w:tcPr>
          <w:p>
            <w:pPr>
              <w:pStyle w:val="35"/>
              <w:rPr>
                <w:rFonts w:cs="Arial"/>
              </w:rPr>
            </w:pPr>
            <w:r>
              <w:t>ΔF</w:t>
            </w:r>
            <w:r>
              <w:rPr>
                <w:vertAlign w:val="subscript"/>
              </w:rPr>
              <w:t>Raster</w:t>
            </w:r>
            <w:r>
              <w:t xml:space="preserve"> (kHz)</w:t>
            </w:r>
          </w:p>
        </w:tc>
        <w:tc>
          <w:tcPr>
            <w:tcW w:w="3889" w:type="dxa"/>
            <w:gridSpan w:val="3"/>
          </w:tcPr>
          <w:p>
            <w:pPr>
              <w:pStyle w:val="35"/>
              <w:rPr>
                <w:rFonts w:cs="Arial"/>
              </w:rPr>
            </w:pPr>
            <w:r>
              <w:rPr>
                <w:rFonts w:cs="Arial"/>
              </w:rPr>
              <w:t>Downlink</w:t>
            </w:r>
          </w:p>
        </w:tc>
        <w:tc>
          <w:tcPr>
            <w:tcW w:w="3696"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979" w:type="dxa"/>
            <w:vMerge w:val="continue"/>
          </w:tcPr>
          <w:p>
            <w:pPr>
              <w:pStyle w:val="35"/>
              <w:rPr>
                <w:rFonts w:cs="Arial"/>
              </w:rPr>
            </w:pPr>
          </w:p>
        </w:tc>
        <w:tc>
          <w:tcPr>
            <w:tcW w:w="1008" w:type="dxa"/>
          </w:tcPr>
          <w:p>
            <w:pPr>
              <w:pStyle w:val="35"/>
              <w:rPr>
                <w:rFonts w:cs="Arial"/>
              </w:rPr>
            </w:pPr>
            <w:r>
              <w:rPr>
                <w:rFonts w:cs="Arial"/>
              </w:rPr>
              <w:t>F</w:t>
            </w:r>
            <w:r>
              <w:rPr>
                <w:rFonts w:cs="Arial"/>
                <w:vertAlign w:val="subscript"/>
              </w:rPr>
              <w:t xml:space="preserve">DL_low </w:t>
            </w:r>
            <w:r>
              <w:rPr>
                <w:rFonts w:cs="Arial"/>
              </w:rPr>
              <w:t>(MHz)</w:t>
            </w:r>
          </w:p>
        </w:tc>
        <w:tc>
          <w:tcPr>
            <w:tcW w:w="1033" w:type="dxa"/>
          </w:tcPr>
          <w:p>
            <w:pPr>
              <w:pStyle w:val="35"/>
              <w:rPr>
                <w:rFonts w:cs="Arial"/>
              </w:rPr>
            </w:pPr>
            <w:r>
              <w:rPr>
                <w:rFonts w:cs="Arial"/>
              </w:rPr>
              <w:t>N</w:t>
            </w:r>
            <w:r>
              <w:rPr>
                <w:rFonts w:cs="Arial"/>
                <w:vertAlign w:val="subscript"/>
              </w:rPr>
              <w:t>Offs-DL</w:t>
            </w:r>
          </w:p>
        </w:tc>
        <w:tc>
          <w:tcPr>
            <w:tcW w:w="1848"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008" w:type="dxa"/>
          </w:tcPr>
          <w:p>
            <w:pPr>
              <w:pStyle w:val="35"/>
              <w:rPr>
                <w:rFonts w:cs="Arial"/>
              </w:rPr>
            </w:pPr>
            <w:r>
              <w:rPr>
                <w:rFonts w:cs="Arial"/>
              </w:rPr>
              <w:t>F</w:t>
            </w:r>
            <w:r>
              <w:rPr>
                <w:rFonts w:cs="Arial"/>
                <w:vertAlign w:val="subscript"/>
              </w:rPr>
              <w:t xml:space="preserve">UL_low </w:t>
            </w:r>
            <w:r>
              <w:rPr>
                <w:rFonts w:cs="Arial"/>
              </w:rPr>
              <w:t>(MHz)</w:t>
            </w:r>
          </w:p>
        </w:tc>
        <w:tc>
          <w:tcPr>
            <w:tcW w:w="839" w:type="dxa"/>
          </w:tcPr>
          <w:p>
            <w:pPr>
              <w:pStyle w:val="35"/>
              <w:rPr>
                <w:rFonts w:cs="Arial"/>
              </w:rPr>
            </w:pPr>
            <w:r>
              <w:rPr>
                <w:rFonts w:cs="Arial"/>
              </w:rPr>
              <w:t>N</w:t>
            </w:r>
            <w:r>
              <w:rPr>
                <w:rFonts w:cs="Arial"/>
                <w:vertAlign w:val="subscript"/>
              </w:rPr>
              <w:t>Offs-UL</w:t>
            </w:r>
          </w:p>
        </w:tc>
        <w:tc>
          <w:tcPr>
            <w:tcW w:w="1849"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val="en-US" w:eastAsia="zh-CN"/>
              </w:rPr>
              <w:t>[</w:t>
            </w:r>
            <w:r>
              <w:rPr>
                <w:rFonts w:hint="eastAsia" w:eastAsia="宋体" w:cs="Arial"/>
                <w:szCs w:val="18"/>
                <w:lang w:eastAsia="zh-CN"/>
              </w:rPr>
              <w:t>253</w:t>
            </w:r>
            <w:r>
              <w:rPr>
                <w:rFonts w:hint="eastAsia" w:eastAsia="宋体" w:cs="Arial"/>
                <w:szCs w:val="18"/>
                <w:lang w:val="en-US" w:eastAsia="zh-CN"/>
              </w:rPr>
              <w:t>]</w:t>
            </w:r>
          </w:p>
        </w:tc>
        <w:tc>
          <w:tcPr>
            <w:tcW w:w="979"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008"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1518</w:t>
            </w:r>
          </w:p>
        </w:tc>
        <w:tc>
          <w:tcPr>
            <w:tcW w:w="1033"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228501</w:t>
            </w:r>
          </w:p>
        </w:tc>
        <w:tc>
          <w:tcPr>
            <w:tcW w:w="1848"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228501-&lt;1&gt;-228570</w:t>
            </w:r>
          </w:p>
        </w:tc>
        <w:tc>
          <w:tcPr>
            <w:tcW w:w="1008"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1668</w:t>
            </w:r>
          </w:p>
        </w:tc>
        <w:tc>
          <w:tcPr>
            <w:tcW w:w="839"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261269</w:t>
            </w:r>
          </w:p>
        </w:tc>
        <w:tc>
          <w:tcPr>
            <w:tcW w:w="1849" w:type="dxa"/>
            <w:vAlign w:val="top"/>
          </w:tcPr>
          <w:p>
            <w:pPr>
              <w:pStyle w:val="36"/>
              <w:rPr>
                <w:rFonts w:hint="default" w:ascii="Arial" w:hAnsi="Arial" w:eastAsia="宋体" w:cs="Times New Roman"/>
                <w:kern w:val="0"/>
                <w:sz w:val="18"/>
                <w:szCs w:val="20"/>
                <w:lang w:val="en-US" w:eastAsia="zh-CN" w:bidi="ar-SA"/>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2: </w:t>
      </w:r>
      <w:r>
        <w:rPr>
          <w:rFonts w:hint="eastAsia"/>
          <w:lang w:val="en-US" w:eastAsia="zh-CN"/>
        </w:rPr>
        <w:t>For the Extended L-band, the channel raster, carrier frequency and EARFCN can be defined as Table 2.2-1.</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2: </w:t>
      </w:r>
      <w:r>
        <w:rPr>
          <w:rFonts w:hint="eastAsia"/>
          <w:lang w:val="en-US" w:eastAsia="zh-CN"/>
        </w:rPr>
        <w:t>For the Extended L-band, the channel raster, carrier frequency and EARFCN can be defined as Table 2.2-1.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3"/>
        <w:numPr>
          <w:ilvl w:val="0"/>
          <w:numId w:val="4"/>
        </w:numPr>
      </w:pPr>
      <w:r>
        <w:rPr>
          <w:lang w:val="en-US" w:eastAsia="zh-CN"/>
        </w:rPr>
        <w:t>ECC Report 263, “Adjacent band compatibility studies between IMT operating in the frequency band 1492-1518 MHz and the MSS operating in the frequ</w:t>
      </w:r>
      <w:bookmarkStart w:id="6" w:name="_GoBack"/>
      <w:bookmarkEnd w:id="6"/>
      <w:r>
        <w:rPr>
          <w:lang w:val="en-US" w:eastAsia="zh-CN"/>
        </w:rPr>
        <w:t xml:space="preserve">ency band 1518-1552 MHz,” Approved 03 March 2017.  </w:t>
      </w:r>
    </w:p>
    <w:p>
      <w:pPr>
        <w:pStyle w:val="53"/>
        <w:numPr>
          <w:ilvl w:val="0"/>
          <w:numId w:val="4"/>
        </w:numPr>
      </w:pPr>
      <w:r>
        <w:rPr>
          <w:rFonts w:hint="eastAsia"/>
          <w:highlight w:val="none"/>
          <w:lang w:val="en-US" w:eastAsia="zh-CN"/>
        </w:rPr>
        <w:t>R4-2312039,</w:t>
      </w:r>
      <w:r>
        <w:rPr>
          <w:rFonts w:hint="eastAsia"/>
          <w:lang w:val="en-US" w:eastAsia="zh-CN"/>
        </w:rPr>
        <w:t xml:space="preserve"> </w:t>
      </w:r>
      <w:r>
        <w:rPr>
          <w:rFonts w:hint="default" w:cs="Times New Roman"/>
          <w:sz w:val="20"/>
          <w:szCs w:val="20"/>
          <w:highlight w:val="none"/>
          <w:lang w:val="en-US" w:eastAsia="zh-CN"/>
        </w:rPr>
        <w:t>“</w:t>
      </w:r>
      <w:r>
        <w:rPr>
          <w:rFonts w:hint="eastAsia"/>
          <w:lang w:val="en-US" w:eastAsia="zh-CN"/>
        </w:rPr>
        <w:t>Band definition and system parameters for Extended L-band</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ZTE</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C16130"/>
    <w:multiLevelType w:val="multilevel"/>
    <w:tmpl w:val="14C16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1C3"/>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42800"/>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810F6"/>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112E1"/>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CE5EC3"/>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61452E"/>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2B0"/>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EFE20BF"/>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A7E36"/>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5C9"/>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93F0C"/>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4469F"/>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328AA"/>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76C8B"/>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67D6D"/>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2023-08-11T07:00:01Z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FE8E24BD81BB4BA2AD3C886B1F2E8869</vt:lpwstr>
  </property>
</Properties>
</file>